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31" w:rsidRPr="00082931" w:rsidRDefault="00082931" w:rsidP="00082931">
      <w:pPr>
        <w:spacing w:after="0" w:line="240" w:lineRule="auto"/>
        <w:jc w:val="right"/>
        <w:rPr>
          <w:rFonts w:ascii="Georgia" w:eastAsia="Times New Roman" w:hAnsi="Georgia" w:cs="Times New Roman"/>
          <w:sz w:val="18"/>
          <w:szCs w:val="18"/>
          <w:lang w:eastAsia="it-IT"/>
        </w:rPr>
      </w:pPr>
      <w:r w:rsidRPr="00082931">
        <w:rPr>
          <w:rFonts w:ascii="Georgia" w:eastAsia="Times New Roman" w:hAnsi="Georgia" w:cs="Times New Roman"/>
          <w:sz w:val="18"/>
          <w:szCs w:val="18"/>
          <w:lang w:eastAsia="it-IT"/>
        </w:rPr>
        <w:fldChar w:fldCharType="begin"/>
      </w:r>
      <w:r w:rsidRPr="00082931">
        <w:rPr>
          <w:rFonts w:ascii="Georgia" w:eastAsia="Times New Roman" w:hAnsi="Georgia" w:cs="Times New Roman"/>
          <w:sz w:val="18"/>
          <w:szCs w:val="18"/>
          <w:lang w:eastAsia="it-IT"/>
        </w:rPr>
        <w:instrText xml:space="preserve"> HYPERLINK "javascript:window.print()" </w:instrText>
      </w:r>
      <w:r w:rsidRPr="00082931">
        <w:rPr>
          <w:rFonts w:ascii="Georgia" w:eastAsia="Times New Roman" w:hAnsi="Georgia" w:cs="Times New Roman"/>
          <w:sz w:val="18"/>
          <w:szCs w:val="18"/>
          <w:lang w:eastAsia="it-IT"/>
        </w:rPr>
        <w:fldChar w:fldCharType="separate"/>
      </w:r>
      <w:r w:rsidRPr="00082931">
        <w:rPr>
          <w:rFonts w:ascii="Georgia" w:eastAsia="Times New Roman" w:hAnsi="Georgia" w:cs="Times New Roman"/>
          <w:b/>
          <w:bCs/>
          <w:color w:val="666666"/>
          <w:sz w:val="17"/>
          <w:szCs w:val="17"/>
          <w:u w:val="single"/>
          <w:lang w:eastAsia="it-IT"/>
        </w:rPr>
        <w:t>Stampa l'articolo</w:t>
      </w:r>
      <w:r w:rsidRPr="00082931">
        <w:rPr>
          <w:rFonts w:ascii="Georgia" w:eastAsia="Times New Roman" w:hAnsi="Georgia" w:cs="Times New Roman"/>
          <w:sz w:val="18"/>
          <w:szCs w:val="18"/>
          <w:lang w:eastAsia="it-IT"/>
        </w:rPr>
        <w:fldChar w:fldCharType="end"/>
      </w:r>
      <w:r w:rsidRPr="00082931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</w:t>
      </w:r>
      <w:hyperlink r:id="rId4" w:history="1">
        <w:r w:rsidRPr="00082931">
          <w:rPr>
            <w:rFonts w:ascii="Georgia" w:eastAsia="Times New Roman" w:hAnsi="Georgia" w:cs="Times New Roman"/>
            <w:b/>
            <w:bCs/>
            <w:color w:val="666666"/>
            <w:sz w:val="17"/>
            <w:szCs w:val="17"/>
            <w:u w:val="single"/>
            <w:lang w:eastAsia="it-IT"/>
          </w:rPr>
          <w:t>Chiudi</w:t>
        </w:r>
      </w:hyperlink>
      <w:r w:rsidRPr="00082931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</w:t>
      </w:r>
    </w:p>
    <w:p w:rsidR="00082931" w:rsidRPr="00082931" w:rsidRDefault="00082931" w:rsidP="00082931">
      <w:pPr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999999"/>
          <w:sz w:val="18"/>
          <w:szCs w:val="18"/>
          <w:lang w:eastAsia="it-IT"/>
        </w:rPr>
      </w:pPr>
      <w:r w:rsidRPr="00082931">
        <w:rPr>
          <w:rFonts w:ascii="Georgia" w:eastAsia="Times New Roman" w:hAnsi="Georgia" w:cs="Times New Roman"/>
          <w:b/>
          <w:bCs/>
          <w:color w:val="999999"/>
          <w:sz w:val="18"/>
          <w:szCs w:val="18"/>
          <w:lang w:eastAsia="it-IT"/>
        </w:rPr>
        <w:t xml:space="preserve">20 </w:t>
      </w:r>
      <w:proofErr w:type="gramStart"/>
      <w:r w:rsidRPr="00082931">
        <w:rPr>
          <w:rFonts w:ascii="Georgia" w:eastAsia="Times New Roman" w:hAnsi="Georgia" w:cs="Times New Roman"/>
          <w:b/>
          <w:bCs/>
          <w:color w:val="999999"/>
          <w:sz w:val="18"/>
          <w:szCs w:val="18"/>
          <w:lang w:eastAsia="it-IT"/>
        </w:rPr>
        <w:t>Dicembre</w:t>
      </w:r>
      <w:proofErr w:type="gramEnd"/>
      <w:r w:rsidRPr="00082931">
        <w:rPr>
          <w:rFonts w:ascii="Georgia" w:eastAsia="Times New Roman" w:hAnsi="Georgia" w:cs="Times New Roman"/>
          <w:b/>
          <w:bCs/>
          <w:color w:val="999999"/>
          <w:sz w:val="18"/>
          <w:szCs w:val="18"/>
          <w:lang w:eastAsia="it-IT"/>
        </w:rPr>
        <w:t xml:space="preserve"> 2015</w:t>
      </w:r>
    </w:p>
    <w:p w:rsidR="00082931" w:rsidRPr="00082931" w:rsidRDefault="00082931" w:rsidP="00082931">
      <w:pPr>
        <w:spacing w:after="0" w:line="240" w:lineRule="auto"/>
        <w:jc w:val="both"/>
        <w:outlineLvl w:val="1"/>
        <w:rPr>
          <w:rFonts w:ascii="sole_serif_headlinebold" w:eastAsia="Times New Roman" w:hAnsi="sole_serif_headlinebold" w:cs="Times New Roman"/>
          <w:b/>
          <w:bCs/>
          <w:color w:val="000000"/>
          <w:sz w:val="45"/>
          <w:szCs w:val="45"/>
          <w:lang w:eastAsia="it-IT"/>
        </w:rPr>
      </w:pPr>
      <w:r w:rsidRPr="00082931">
        <w:rPr>
          <w:rFonts w:ascii="sole_serif_headlinebold" w:eastAsia="Times New Roman" w:hAnsi="sole_serif_headlinebold" w:cs="Times New Roman"/>
          <w:b/>
          <w:bCs/>
          <w:color w:val="000000"/>
          <w:sz w:val="45"/>
          <w:szCs w:val="45"/>
          <w:lang w:eastAsia="it-IT"/>
        </w:rPr>
        <w:t>Se l’Europa progetta e l’America agisce</w:t>
      </w:r>
    </w:p>
    <w:p w:rsidR="00082931" w:rsidRPr="00082931" w:rsidRDefault="00082931" w:rsidP="00082931">
      <w:pPr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999999"/>
          <w:sz w:val="18"/>
          <w:szCs w:val="18"/>
          <w:lang w:eastAsia="it-IT"/>
        </w:rPr>
      </w:pPr>
      <w:r w:rsidRPr="00082931">
        <w:rPr>
          <w:rFonts w:ascii="Georgia" w:eastAsia="Times New Roman" w:hAnsi="Georgia" w:cs="Times New Roman"/>
          <w:b/>
          <w:bCs/>
          <w:color w:val="999999"/>
          <w:sz w:val="18"/>
          <w:szCs w:val="18"/>
          <w:lang w:eastAsia="it-IT"/>
        </w:rPr>
        <w:t>di Alberto Quadrio Curzio</w:t>
      </w:r>
    </w:p>
    <w:p w:rsidR="00082931" w:rsidRPr="00082931" w:rsidRDefault="00082931" w:rsidP="00082931">
      <w:pPr>
        <w:spacing w:after="0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it-IT"/>
        </w:rPr>
      </w:pPr>
      <w:r w:rsidRPr="00082931">
        <w:rPr>
          <w:rFonts w:ascii="Georgia" w:eastAsia="Times New Roman" w:hAnsi="Georgia" w:cs="Times New Roman"/>
          <w:sz w:val="18"/>
          <w:szCs w:val="18"/>
          <w:lang w:eastAsia="it-IT"/>
        </w:rPr>
        <w:br w:type="textWrapping" w:clear="all"/>
      </w:r>
    </w:p>
    <w:p w:rsidR="00082931" w:rsidRPr="00082931" w:rsidRDefault="00082931" w:rsidP="00082931">
      <w:pPr>
        <w:spacing w:after="0" w:line="300" w:lineRule="atLeast"/>
        <w:jc w:val="both"/>
        <w:rPr>
          <w:rFonts w:ascii="Georgia" w:eastAsia="Times New Roman" w:hAnsi="Georgia" w:cs="Times New Roman"/>
          <w:sz w:val="21"/>
          <w:szCs w:val="21"/>
          <w:lang w:eastAsia="it-IT"/>
        </w:rPr>
      </w:pPr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«Tra pessimismo sull’Europa e avvenirismo sugli Stati Uniti d’Europa bisogna ritornare all’Euro-razionalità. Ovvero riconoscere i progressi fatti, sapere che l’eurozona non può tornare indietro, puntare al suo rilancio tramite la 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governance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e la crescita. È perciò positivo che il Consiglio europeo della settimana entrante abbia all’ordine del giorno crescita, occupazione e competitività. L’inizio del nuovo quinquennio istituzionale europeo (2014-19) dovrebbe però essere scandito anche da un netto rilancio dell’eurozona (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Uem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) su tre temi: il suo governo; il contrasto alla deflazione; la strategia di crescita». Così iniziava un mio articolo del 14 dicembre 2014 che concludeva: «la strategia di crescita passa però attraverso il rilancio degli investimenti infrastrutturali finanziati a livello dell’eurozona. Molti hanno detto che l’eurozona rischia di sprecare un decennio. È vero e lo confermano non solo i cattivi dati sulla crescita e sulla disoccupazione rispetto agli Usa ma ancor più quelli sugli investimenti che sono la variabile strategica per il futuro». </w:t>
      </w:r>
    </w:p>
    <w:p w:rsidR="00082931" w:rsidRPr="00082931" w:rsidRDefault="00082931" w:rsidP="00082931">
      <w:pPr>
        <w:spacing w:after="0" w:line="300" w:lineRule="atLeast"/>
        <w:jc w:val="both"/>
        <w:rPr>
          <w:rFonts w:ascii="Georgia" w:eastAsia="Times New Roman" w:hAnsi="Georgia" w:cs="Times New Roman"/>
          <w:sz w:val="21"/>
          <w:szCs w:val="21"/>
          <w:lang w:eastAsia="it-IT"/>
        </w:rPr>
      </w:pPr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Dopo un anno quanto detto rimane valido con le Istituzioni della Ue e della 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Uem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che progettano per la crescita ma operano per il rigore. Gli Usa hanno fatto l’opposto operando in velocità con interventi pubblici dalle grandi conseguenze </w:t>
      </w:r>
      <w:proofErr w:type="spellStart"/>
      <w:proofErr w:type="gram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economiche.Nei</w:t>
      </w:r>
      <w:proofErr w:type="spellEnd"/>
      <w:proofErr w:type="gram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giorni scorsi due eventi hanno sugellato questa 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valutazione.Da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un lato l’aumento dei tassi di interesse della Fed segnala come negli Usa la crescita e l’occupazione sono ormai 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solide.Da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un altro lato il Consiglio Europeo rinvia le riforme nel Governo della 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Uem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mentre la Germania intralcia l’Unione Bancaria. </w:t>
      </w:r>
    </w:p>
    <w:p w:rsidR="00082931" w:rsidRPr="00082931" w:rsidRDefault="00082931" w:rsidP="00082931">
      <w:pPr>
        <w:spacing w:after="0" w:line="300" w:lineRule="atLeast"/>
        <w:jc w:val="both"/>
        <w:rPr>
          <w:rFonts w:ascii="Georgia" w:eastAsia="Times New Roman" w:hAnsi="Georgia" w:cs="Times New Roman"/>
          <w:sz w:val="21"/>
          <w:szCs w:val="21"/>
          <w:lang w:eastAsia="it-IT"/>
        </w:rPr>
      </w:pPr>
      <w:r w:rsidRPr="00082931">
        <w:rPr>
          <w:rFonts w:ascii="Georgia" w:eastAsia="Times New Roman" w:hAnsi="Georgia" w:cs="Times New Roman"/>
          <w:b/>
          <w:bCs/>
          <w:sz w:val="21"/>
          <w:szCs w:val="21"/>
          <w:lang w:eastAsia="it-IT"/>
        </w:rPr>
        <w:t>Recessione e ripresa</w:t>
      </w:r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</w:t>
      </w:r>
      <w:r w:rsidRPr="00082931">
        <w:rPr>
          <w:rFonts w:ascii="Georgia" w:eastAsia="Times New Roman" w:hAnsi="Georgia" w:cs="Times New Roman"/>
          <w:sz w:val="18"/>
          <w:szCs w:val="18"/>
          <w:lang w:eastAsia="it-IT"/>
        </w:rPr>
        <w:br/>
      </w:r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La ripresa degli Usa è nata dalla rapidità e dall’entità del contrasto alla crisi con due interventi associati </w:t>
      </w:r>
      <w:proofErr w:type="gram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al quantitative</w:t>
      </w:r>
      <w:proofErr w:type="gram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easing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. Il </w:t>
      </w:r>
      <w:proofErr w:type="gram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primo ,varato</w:t>
      </w:r>
      <w:proofErr w:type="gram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già il 3 ottobre 2008 dal Governo Usa, è il 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Tarp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(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Troubled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Asset 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Relief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Program) per acquistare i titoli “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spazzutura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” dalle banche ripulendone i bilanci. Il programma di iniziali 700 miliardi di dollari consentì al sistema bancario Usa di riprendersi presto e di erogare credito. Al contrario nella 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Uem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, i salvataggi e le pulizie bancarie sono state frammentate nazionalmente (talvolta occultamente tramite salvataggi a Stati come 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Irlanda,Portogallo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e Grecia anche per soccorrere banche tedesche e anche francesi)e 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lentamente.I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Paesi grandi più fragili sia pure per ragioni diverse(la Spagna per la bolla immobiliare, l’Italia per il debito pubblico)si sono trovati di fronte ad una scelta: entrare in un programma di risanamento bancario finanziato dal fondo europeo 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Esm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a condizione di essere vigilati dalla cosiddetta ”troika”(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scelta,giusta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, della Spagna);cavarsela per conto proprio(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scelta,sbagliata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, dell’Italia). Ciò accadeva nel 2012-13(cioè quattro anni dopo il 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Tarp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</w:t>
      </w:r>
      <w:proofErr w:type="gram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Usa)quando</w:t>
      </w:r>
      <w:proofErr w:type="gram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la crisi aveva già colpito l’economia reale fiaccando molte imprese e quindi banche che le avevano affidate. Quando l’Unione Bancaria ha cominciato a funzionare nel novembre 2014(cioè due anni dopo l’annuncio datone nel Consiglio del giugno 2012!) per sciogliere il legame banche-debiti sovrani, la situazione del sistema bancario europeo era diventata molto disomogenea svantaggiando nettamente soprattutto l’Italia ma anche tutta la 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Uem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le cui banche andavano ripulite e ricapitalizzate in modo equilibrato.</w:t>
      </w:r>
    </w:p>
    <w:p w:rsidR="00082931" w:rsidRPr="00082931" w:rsidRDefault="00082931" w:rsidP="00082931">
      <w:pPr>
        <w:spacing w:after="0" w:line="300" w:lineRule="atLeast"/>
        <w:jc w:val="both"/>
        <w:rPr>
          <w:rFonts w:ascii="Georgia" w:eastAsia="Times New Roman" w:hAnsi="Georgia" w:cs="Times New Roman"/>
          <w:sz w:val="21"/>
          <w:szCs w:val="21"/>
          <w:lang w:eastAsia="it-IT"/>
        </w:rPr>
      </w:pPr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Il secondo intervento per contrastare la crisi americana è il “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Recovery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Act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” adottato dal Governo nel 2009 con 850 miliardi di dollari investiti in infrastrutture materiali e immateriali e per sgravi fiscali a cui è seguito un altro piano da 500 miliardi di dollari per opere pubbliche lanciato nel 2015.Non è dunque solo il mercato del lavoro più snello e la maggiore flessibilità della economia Usa che ha facilitato l’uscita dalla crisi ma anche un potente intervento pubblico(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Tarp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e 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Recovery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) che ha portato il debito sul Pil dal 64% del 2007 al 104,8% del 2015 ma anche la disoccupazione che dal 4,6% del 2007 è balzata al 9,6% del 2010 ma è già ridiscesa al 5,2% nel 2015</w:t>
      </w:r>
    </w:p>
    <w:p w:rsidR="00082931" w:rsidRPr="00082931" w:rsidRDefault="00082931" w:rsidP="00082931">
      <w:pPr>
        <w:spacing w:after="0" w:line="300" w:lineRule="atLeast"/>
        <w:jc w:val="both"/>
        <w:rPr>
          <w:rFonts w:ascii="Georgia" w:eastAsia="Times New Roman" w:hAnsi="Georgia" w:cs="Times New Roman"/>
          <w:sz w:val="21"/>
          <w:szCs w:val="21"/>
          <w:lang w:eastAsia="it-IT"/>
        </w:rPr>
      </w:pPr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lastRenderedPageBreak/>
        <w:t xml:space="preserve">Nella Ue il Piano Juncker per gli </w:t>
      </w:r>
      <w:proofErr w:type="gram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investimenti ,annunciato</w:t>
      </w:r>
      <w:proofErr w:type="gram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più di un anno fa, incomincia a muoversi adesso. Parte sei anni dopo il “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Recovey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” Usa con cifre minime e cioè 21 miliardi di euro che a regime dovrebbero mobilitare 315 miliardi di investimenti delle imprese e nelle 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infrastrutture.Il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piano innova nel contesto europeo e contiene criteri sani per creare un “mercato unico” del finanziamento delle infrastrutture e delle 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Pmi.Il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suo successo dipenderà però sia dalla capacità di attirare liquidità su strumenti finanziari non speculativi e di lungo periodo con sottostanti di economia reale sia dalla semplicità dei processi di delega a livello Ue e Nazionali(tramite Bei e 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Cdp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).Intanto la 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Uem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non si può rallegrare per un debito sul Pil che dal 65% del 2007 è salito solo al 93,6% del 2015 perché i 10 punti in meno rispetto a quello Usa sono pagati dalla disoccupazione che dal 7,5% del 2007 è salita all’11% del 2015.</w:t>
      </w:r>
    </w:p>
    <w:p w:rsidR="00082931" w:rsidRPr="00082931" w:rsidRDefault="00082931" w:rsidP="00082931">
      <w:pPr>
        <w:spacing w:after="0" w:line="300" w:lineRule="atLeast"/>
        <w:jc w:val="both"/>
        <w:rPr>
          <w:rFonts w:ascii="Georgia" w:eastAsia="Times New Roman" w:hAnsi="Georgia" w:cs="Times New Roman"/>
          <w:sz w:val="21"/>
          <w:szCs w:val="21"/>
          <w:lang w:eastAsia="it-IT"/>
        </w:rPr>
      </w:pPr>
      <w:r w:rsidRPr="00082931">
        <w:rPr>
          <w:rFonts w:ascii="Georgia" w:eastAsia="Times New Roman" w:hAnsi="Georgia" w:cs="Times New Roman"/>
          <w:b/>
          <w:bCs/>
          <w:sz w:val="21"/>
          <w:szCs w:val="21"/>
          <w:lang w:eastAsia="it-IT"/>
        </w:rPr>
        <w:t>Il Governo europeo</w:t>
      </w:r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</w:t>
      </w:r>
      <w:r w:rsidRPr="00082931">
        <w:rPr>
          <w:rFonts w:ascii="Georgia" w:eastAsia="Times New Roman" w:hAnsi="Georgia" w:cs="Times New Roman"/>
          <w:sz w:val="18"/>
          <w:szCs w:val="18"/>
          <w:lang w:eastAsia="it-IT"/>
        </w:rPr>
        <w:br/>
      </w:r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La democrazia </w:t>
      </w:r>
      <w:proofErr w:type="gram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europea(</w:t>
      </w:r>
      <w:proofErr w:type="gram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che apprezzo per la sua aspirazione al liberalismo sociale e co-decisionale) è diversa da quella americana (con il suo liberalismo individualista e decisionista) ma non può reggere senza un Governo dell’Eurozona. A questo mira il progetto dei “quattro presidenti” (del Consiglio e della Commissione europea, dell’Eurogruppo e della Bce ai quali si è aggiunto ora il Presidente del Parlamento) per «Completare l’Unione economica e monetaria». Il progetto, presentato nel giugno del 2012, è stato revisionato in molti Consigli Europei. Qualche parte è stata attuata. Il più rimane da fare per una </w:t>
      </w:r>
      <w:proofErr w:type="spell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governance</w:t>
      </w:r>
      <w:proofErr w:type="spell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 economica e di bilancio più efficace per stimolare la competitività, la convergenza e la sostenibilità; per la rappresentanza esterna della zona euro per rispecchiare meglio il suo peso nell’economia mondiale; per l’Unione bancaria per aumentare la stabilità finanziaria nella zona euro.</w:t>
      </w:r>
    </w:p>
    <w:p w:rsidR="00082931" w:rsidRPr="00082931" w:rsidRDefault="00082931" w:rsidP="00082931">
      <w:pPr>
        <w:spacing w:after="0" w:line="300" w:lineRule="atLeast"/>
        <w:jc w:val="both"/>
        <w:rPr>
          <w:rFonts w:ascii="Georgia" w:eastAsia="Times New Roman" w:hAnsi="Georgia" w:cs="Times New Roman"/>
          <w:sz w:val="21"/>
          <w:szCs w:val="21"/>
          <w:lang w:eastAsia="it-IT"/>
        </w:rPr>
      </w:pPr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 xml:space="preserve">Il tempo stringe ma il Consiglio europeo di venerdì scorso si è dato tempo per approfondire </w:t>
      </w:r>
      <w:proofErr w:type="gramStart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e «</w:t>
      </w:r>
      <w:proofErr w:type="gramEnd"/>
      <w:r w:rsidRPr="00082931">
        <w:rPr>
          <w:rFonts w:ascii="Georgia" w:eastAsia="Times New Roman" w:hAnsi="Georgia" w:cs="Times New Roman"/>
          <w:sz w:val="21"/>
          <w:szCs w:val="21"/>
          <w:lang w:eastAsia="it-IT"/>
        </w:rPr>
        <w:t>ritornare su tali misure entro la fine del 2017». Cioè 10 anni dopo lo scoppio della crisi che ha dimostrato come l’assenza di un Governo dell’Eurozona non è sostituibile dal Cancelliere tedesco «Perché da sola la Germania non diventerà come gli Usa». Come ben titolò il Sole il mio articolo di un anno fa.</w:t>
      </w:r>
    </w:p>
    <w:p w:rsidR="00082931" w:rsidRPr="00082931" w:rsidRDefault="00082931" w:rsidP="00082931">
      <w:pPr>
        <w:spacing w:after="0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it-IT"/>
        </w:rPr>
      </w:pPr>
      <w:r w:rsidRPr="00082931">
        <w:rPr>
          <w:rFonts w:ascii="Georgia" w:eastAsia="Times New Roman" w:hAnsi="Georgia" w:cs="Times New Roman"/>
          <w:sz w:val="18"/>
          <w:szCs w:val="18"/>
          <w:lang w:eastAsia="it-IT"/>
        </w:rPr>
        <w:br/>
        <w:t xml:space="preserve">20 </w:t>
      </w:r>
      <w:proofErr w:type="gramStart"/>
      <w:r w:rsidRPr="00082931">
        <w:rPr>
          <w:rFonts w:ascii="Georgia" w:eastAsia="Times New Roman" w:hAnsi="Georgia" w:cs="Times New Roman"/>
          <w:sz w:val="18"/>
          <w:szCs w:val="18"/>
          <w:lang w:eastAsia="it-IT"/>
        </w:rPr>
        <w:t>Dicembre</w:t>
      </w:r>
      <w:proofErr w:type="gramEnd"/>
      <w:r w:rsidRPr="00082931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2015</w:t>
      </w:r>
    </w:p>
    <w:p w:rsidR="00831EE3" w:rsidRDefault="00831EE3"/>
    <w:p w:rsidR="00BD193D" w:rsidRDefault="00BD193D"/>
    <w:p w:rsidR="00BD193D" w:rsidRDefault="00BD193D" w:rsidP="00BD193D">
      <w:pPr>
        <w:pStyle w:val="Titolo3"/>
        <w:jc w:val="both"/>
        <w:rPr>
          <w:rFonts w:ascii="Georgia" w:hAnsi="Georgia"/>
        </w:rPr>
      </w:pPr>
      <w:r>
        <w:rPr>
          <w:rFonts w:ascii="Georgia" w:hAnsi="Georgia"/>
        </w:rPr>
        <w:t>15 dicembre 2015</w:t>
      </w:r>
    </w:p>
    <w:p w:rsidR="00BD193D" w:rsidRDefault="00BD193D" w:rsidP="00BD193D">
      <w:pPr>
        <w:pStyle w:val="Titolo2"/>
        <w:jc w:val="both"/>
      </w:pPr>
      <w:r>
        <w:t>Non facciamo diventare euro-scettici gli euro-razionali</w:t>
      </w:r>
    </w:p>
    <w:p w:rsidR="00BD193D" w:rsidRDefault="00BD193D" w:rsidP="00BD193D">
      <w:pPr>
        <w:pStyle w:val="Titolo3"/>
        <w:jc w:val="both"/>
        <w:rPr>
          <w:rFonts w:ascii="Georgia" w:hAnsi="Georgia"/>
        </w:rPr>
      </w:pPr>
      <w:r>
        <w:rPr>
          <w:rFonts w:ascii="Georgia" w:hAnsi="Georgia"/>
        </w:rPr>
        <w:t>di Alberto Quadrio Curzio</w:t>
      </w:r>
    </w:p>
    <w:p w:rsidR="00BD193D" w:rsidRDefault="00BD193D" w:rsidP="00BD193D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br w:type="textWrapping" w:clear="all"/>
      </w:r>
    </w:p>
    <w:p w:rsidR="00BD193D" w:rsidRDefault="00BD193D" w:rsidP="00BD193D">
      <w:pPr>
        <w:spacing w:line="300" w:lineRule="atLeast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La Commissione europea con la recente “Analisi annuale della </w:t>
      </w:r>
      <w:proofErr w:type="spellStart"/>
      <w:proofErr w:type="gramStart"/>
      <w:r>
        <w:rPr>
          <w:rFonts w:ascii="Georgia" w:hAnsi="Georgia"/>
          <w:sz w:val="21"/>
          <w:szCs w:val="21"/>
        </w:rPr>
        <w:t>crescita:per</w:t>
      </w:r>
      <w:proofErr w:type="spellEnd"/>
      <w:proofErr w:type="gramEnd"/>
      <w:r>
        <w:rPr>
          <w:rFonts w:ascii="Georgia" w:hAnsi="Georgia"/>
          <w:sz w:val="21"/>
          <w:szCs w:val="21"/>
        </w:rPr>
        <w:t xml:space="preserve"> consolidare la ripresa e promuovere la convergenza” esprime concetti solo parzialmente condivisibili. L’impressione è che la Commissione accentui il dirigismo (delle regole) scaricando nuove richieste sugli Stati membri. Però vieta agli Stati interventi pubblici per supplire ai fallimenti del mercato. Lo si è visto anche nella recente crisi di quattro medio-piccole banche italiane. E infine la Ue si auto-preclude gli interventi diretti per dare alla crescita quella sostenibilità innovativa enunciata nella “strategia di Europa 2020”.</w:t>
      </w:r>
    </w:p>
    <w:p w:rsidR="00BD193D" w:rsidRDefault="00BD193D" w:rsidP="00BD193D">
      <w:pPr>
        <w:spacing w:line="300" w:lineRule="atLeast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Tre euro-valutazioni più una</w:t>
      </w:r>
      <w:r>
        <w:rPr>
          <w:rFonts w:ascii="Georgia" w:hAnsi="Georgia"/>
          <w:sz w:val="21"/>
          <w:szCs w:val="21"/>
        </w:rPr>
        <w:t>. Di fronte a questa situazione si stagliano (almeno) tre posizioni: gli euro-razionali chiedono più azioni europee e meno prescrizioni legalistiche; gli euro-scettici chiedono meno prescrizioni europee e più politiche nazionali; gli euro-disfattisti chiedono un ritorno netto agli Stati nazionali.</w:t>
      </w:r>
      <w:r>
        <w:rPr>
          <w:rFonts w:ascii="Georgia" w:hAnsi="Georgia"/>
          <w:sz w:val="18"/>
          <w:szCs w:val="18"/>
        </w:rPr>
        <w:br/>
      </w:r>
      <w:r>
        <w:rPr>
          <w:rFonts w:ascii="Georgia" w:hAnsi="Georgia"/>
          <w:sz w:val="21"/>
          <w:szCs w:val="21"/>
        </w:rPr>
        <w:t xml:space="preserve">Gli euro-razionali, tra i quali ci collochiamo, segnalano anche alla Ue che il passaggio dalla razionalità </w:t>
      </w:r>
      <w:r>
        <w:rPr>
          <w:rFonts w:ascii="Georgia" w:hAnsi="Georgia"/>
          <w:sz w:val="21"/>
          <w:szCs w:val="21"/>
        </w:rPr>
        <w:lastRenderedPageBreak/>
        <w:t>allo scetticismo, al disfattismo è pericolosamente in corso e non si ferma solo rievocando gli ideali e i successi del passato (che ci sono stati) ma adottando delle politiche che li rinnovino oggi. Vi è infine un’altra posizione: quella euro-inerziale della Commissione che poi diventa euro-elogiativa. Nell’ “Analisi annuale” la Commissione ritiene che una progressione positiva sia in atto e continuerà malgrado le difficoltà che noi distinguiamo in endogene ed esogene.</w:t>
      </w:r>
      <w:r>
        <w:rPr>
          <w:rFonts w:ascii="Georgia" w:hAnsi="Georgia"/>
          <w:sz w:val="18"/>
          <w:szCs w:val="18"/>
        </w:rPr>
        <w:br/>
      </w:r>
      <w:r>
        <w:rPr>
          <w:rFonts w:ascii="Georgia" w:hAnsi="Georgia"/>
          <w:sz w:val="21"/>
          <w:szCs w:val="21"/>
        </w:rPr>
        <w:t xml:space="preserve">Per la Commissione le difficoltà endogene sono una scarsa convergenza tra Paesi della Ue, la dinamica della produttività lenta con effetti sulla competitività, i livelli di debito pubblico e privato che frenano gli investimenti. Per la Commissione il presente “vento </w:t>
      </w:r>
      <w:proofErr w:type="spellStart"/>
      <w:r>
        <w:rPr>
          <w:rFonts w:ascii="Georgia" w:hAnsi="Georgia"/>
          <w:sz w:val="21"/>
          <w:szCs w:val="21"/>
        </w:rPr>
        <w:t>di</w:t>
      </w:r>
      <w:proofErr w:type="spellEnd"/>
      <w:r>
        <w:rPr>
          <w:rFonts w:ascii="Georgia" w:hAnsi="Georgia"/>
          <w:sz w:val="21"/>
          <w:szCs w:val="21"/>
        </w:rPr>
        <w:t xml:space="preserve"> poppa” (basso prezzo del petrolio, euro debole, politiche monetarie accomodanti) deve spingere gli Stati membri ad accentuare le riforme strutturali e dei bilanci pubblici.</w:t>
      </w:r>
      <w:r>
        <w:rPr>
          <w:rFonts w:ascii="Georgia" w:hAnsi="Georgia"/>
          <w:sz w:val="18"/>
          <w:szCs w:val="18"/>
        </w:rPr>
        <w:br/>
      </w:r>
      <w:r>
        <w:rPr>
          <w:rFonts w:ascii="Georgia" w:hAnsi="Georgia"/>
          <w:sz w:val="21"/>
          <w:szCs w:val="21"/>
        </w:rPr>
        <w:t>Sulle difficoltà esogene (tensioni geopolitiche, pericolo terroristico, crisi nelle economie emergenti) la Commissione si sofferma poco mentre sull’afflusso massiccio di immigrati ritiene che a breve termine non ci sia un impatto sulla spesa pubblica mentre nel medio-lungo termine ne vede effetti positivi se l’integrazione socio-economica sarà adeguata. La condizione è ovvia ma non l’esito.</w:t>
      </w:r>
    </w:p>
    <w:p w:rsidR="00BD193D" w:rsidRDefault="00BD193D" w:rsidP="00BD193D">
      <w:pPr>
        <w:spacing w:line="300" w:lineRule="atLeast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Quale euro-ripresa.</w:t>
      </w:r>
      <w:r>
        <w:rPr>
          <w:rFonts w:ascii="Georgia" w:hAnsi="Georgia"/>
          <w:sz w:val="21"/>
          <w:szCs w:val="21"/>
        </w:rPr>
        <w:t xml:space="preserve"> La Commissione non spiega però che le difficoltà esogene possono superare o annullare “il vento in poppa” e che le difficoltà endogene riguardano gli Stati ma anche le istituzioni europee. Ritenere che la ripresa della Ue sia “leggera” ma in “accelerazione” e che spetti solo (o prevalentemente) agli Stati membri accentuarla, è fuorviante. Il Pil della Ue crescerà dell’1,9% nel 2015 al 2,1% del 2017 con una crescita media annua inferiore a quella Usa di quasi 0,8 punti </w:t>
      </w:r>
      <w:proofErr w:type="spellStart"/>
      <w:r>
        <w:rPr>
          <w:rFonts w:ascii="Georgia" w:hAnsi="Georgia"/>
          <w:sz w:val="21"/>
          <w:szCs w:val="21"/>
        </w:rPr>
        <w:t>percentuli</w:t>
      </w:r>
      <w:proofErr w:type="spellEnd"/>
      <w:r>
        <w:rPr>
          <w:rFonts w:ascii="Georgia" w:hAnsi="Georgia"/>
          <w:sz w:val="21"/>
          <w:szCs w:val="21"/>
        </w:rPr>
        <w:t xml:space="preserve"> che aggrava i nostri ritardi degli anni precedenti. Se l’“accelerazione” Ue continua dello 0,1 annuo ci vorrebbero 8 anni a raggiungere il tasso di crescita Usa. Un tasso di disoccupazione Ue tra i 4 e i 5 punti più alto di quello Usa è altrettanto grave. La Ue ha poi un deficit su Pil che dal 2015 al 2017 scende dal 2,5% all’1,6% e un debito pubblico sul Pil che passa da 87,8% a 85,8%. Gli Usa (arrivando da livelli ben più alti) passano nel triennio dal 3,8% al 3,3% del deficit sul Pil e dal 104,8% al 105,8% del debito sul Pil.</w:t>
      </w:r>
      <w:r>
        <w:rPr>
          <w:rFonts w:ascii="Georgia" w:hAnsi="Georgia"/>
          <w:sz w:val="18"/>
          <w:szCs w:val="18"/>
        </w:rPr>
        <w:br/>
      </w:r>
      <w:r>
        <w:rPr>
          <w:rFonts w:ascii="Georgia" w:hAnsi="Georgia"/>
          <w:sz w:val="21"/>
          <w:szCs w:val="21"/>
        </w:rPr>
        <w:t>Dunque gli Usa, con pragmatismo, hanno scambiato più deficit e debito con meno disoccupazione e più crescita. Per questo (e altro) le istituzioni Ue, che non hanno gestito bene la crisi, dovrebbero adesso riscattarsi nel gestire bene la ripresa.</w:t>
      </w:r>
    </w:p>
    <w:p w:rsidR="00BD193D" w:rsidRDefault="00BD193D" w:rsidP="00BD193D">
      <w:pPr>
        <w:spacing w:line="300" w:lineRule="atLeast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Investimenti e credito.</w:t>
      </w:r>
      <w:r>
        <w:rPr>
          <w:rFonts w:ascii="Georgia" w:hAnsi="Georgia"/>
          <w:sz w:val="21"/>
          <w:szCs w:val="21"/>
        </w:rPr>
        <w:t xml:space="preserve"> Per noi la politica cruciale era ed è quella degli investimenti e delle infrastrutture su cui la Commissione rivendica adesso di aver già ottenuto con il Piano Juncker molti successi (da verificare). La Commissione tratta anche di investimenti e credito con riferimento sia all’Unione bancaria e del mercato dei capitali sia agli stock del debito e delle sofferenze che frenano il finanziamento all’economia reale e le decisioni di investimento delle imprese. A questo punto è necessario un richiamo alla situazione euro-italiana connesso alle recenti vicende bancarie. Dal 2008 al 2014 il valore lordo cumulato delle risorse pubbliche (circa 800 miliardi pari all’8% di cui recuperati 330, pari al 3,3%) erogate per salvare istituzioni finanziarie (con un record di 238 miliardi in Germania). La Spagna ha avuto nel 2013-14 un prestito assai conveniente dal Fondo europeo </w:t>
      </w:r>
      <w:proofErr w:type="spellStart"/>
      <w:r>
        <w:rPr>
          <w:rFonts w:ascii="Georgia" w:hAnsi="Georgia"/>
          <w:sz w:val="21"/>
          <w:szCs w:val="21"/>
        </w:rPr>
        <w:t>Esm</w:t>
      </w:r>
      <w:proofErr w:type="spellEnd"/>
      <w:r>
        <w:rPr>
          <w:rFonts w:ascii="Georgia" w:hAnsi="Georgia"/>
          <w:sz w:val="21"/>
          <w:szCs w:val="21"/>
        </w:rPr>
        <w:t xml:space="preserve"> di 41,3 miliardi (con apertura di credito per 100 miliardi) con durata media di 12,5 anni. Così ha risistemato le banche e questa è una delle ragioni della sua buona crescita. In Italia lo Stato ha fatto alle banche solo dei prestiti già recuperati anche con guadagni. I governi italiani del 2012-13 non hanno capito che la crisi avrebbe ingigantito i crediti deteriorati e non hanno chiesto (noi lo auspicammo qui da ultimo l’1 novembre 2013) un prestito come la Spagna. Quando nel 2014-15 lo si comprese era tardi per ricorrere al Fondo </w:t>
      </w:r>
      <w:proofErr w:type="spellStart"/>
      <w:r>
        <w:rPr>
          <w:rFonts w:ascii="Georgia" w:hAnsi="Georgia"/>
          <w:sz w:val="21"/>
          <w:szCs w:val="21"/>
        </w:rPr>
        <w:t>Esm</w:t>
      </w:r>
      <w:proofErr w:type="spellEnd"/>
      <w:r>
        <w:rPr>
          <w:rFonts w:ascii="Georgia" w:hAnsi="Georgia"/>
          <w:sz w:val="21"/>
          <w:szCs w:val="21"/>
        </w:rPr>
        <w:t xml:space="preserve"> e allora emerse l’ipotesi (giusta) di “</w:t>
      </w:r>
      <w:proofErr w:type="spellStart"/>
      <w:r>
        <w:rPr>
          <w:rFonts w:ascii="Georgia" w:hAnsi="Georgia"/>
          <w:sz w:val="21"/>
          <w:szCs w:val="21"/>
        </w:rPr>
        <w:t>bad</w:t>
      </w:r>
      <w:proofErr w:type="spellEnd"/>
      <w:r>
        <w:rPr>
          <w:rFonts w:ascii="Georgia" w:hAnsi="Georgia"/>
          <w:sz w:val="21"/>
          <w:szCs w:val="21"/>
        </w:rPr>
        <w:t xml:space="preserve"> </w:t>
      </w:r>
      <w:proofErr w:type="spellStart"/>
      <w:r>
        <w:rPr>
          <w:rFonts w:ascii="Georgia" w:hAnsi="Georgia"/>
          <w:sz w:val="21"/>
          <w:szCs w:val="21"/>
        </w:rPr>
        <w:t>bank</w:t>
      </w:r>
      <w:proofErr w:type="spellEnd"/>
      <w:r>
        <w:rPr>
          <w:rFonts w:ascii="Georgia" w:hAnsi="Georgia"/>
          <w:sz w:val="21"/>
          <w:szCs w:val="21"/>
        </w:rPr>
        <w:t xml:space="preserve">” mentre le sofferenze lorde raggiungevano a giugno 2015 i 210 miliardi. Bisognava collocare una parte consistente delle sofferenze nette (cioè non coperte da accantonamenti) nella </w:t>
      </w:r>
      <w:proofErr w:type="spellStart"/>
      <w:r>
        <w:rPr>
          <w:rFonts w:ascii="Georgia" w:hAnsi="Georgia"/>
          <w:sz w:val="21"/>
          <w:szCs w:val="21"/>
        </w:rPr>
        <w:t>bad</w:t>
      </w:r>
      <w:proofErr w:type="spellEnd"/>
      <w:r>
        <w:rPr>
          <w:rFonts w:ascii="Georgia" w:hAnsi="Georgia"/>
          <w:sz w:val="21"/>
          <w:szCs w:val="21"/>
        </w:rPr>
        <w:t xml:space="preserve"> </w:t>
      </w:r>
      <w:proofErr w:type="spellStart"/>
      <w:r>
        <w:rPr>
          <w:rFonts w:ascii="Georgia" w:hAnsi="Georgia"/>
          <w:sz w:val="21"/>
          <w:szCs w:val="21"/>
        </w:rPr>
        <w:t>bank</w:t>
      </w:r>
      <w:proofErr w:type="spellEnd"/>
      <w:r>
        <w:rPr>
          <w:rFonts w:ascii="Georgia" w:hAnsi="Georgia"/>
          <w:sz w:val="21"/>
          <w:szCs w:val="21"/>
        </w:rPr>
        <w:t xml:space="preserve"> per la quale (si veda il nostro articolo del 22 febbraio 2015) ci voleva se non un intervento dello Stato sul capitale di certo una sua garanzia sulle obbligazioni della </w:t>
      </w:r>
      <w:proofErr w:type="spellStart"/>
      <w:r>
        <w:rPr>
          <w:rFonts w:ascii="Georgia" w:hAnsi="Georgia"/>
          <w:sz w:val="21"/>
          <w:szCs w:val="21"/>
        </w:rPr>
        <w:t>bad</w:t>
      </w:r>
      <w:proofErr w:type="spellEnd"/>
      <w:r>
        <w:rPr>
          <w:rFonts w:ascii="Georgia" w:hAnsi="Georgia"/>
          <w:sz w:val="21"/>
          <w:szCs w:val="21"/>
        </w:rPr>
        <w:t xml:space="preserve"> </w:t>
      </w:r>
      <w:proofErr w:type="spellStart"/>
      <w:r>
        <w:rPr>
          <w:rFonts w:ascii="Georgia" w:hAnsi="Georgia"/>
          <w:sz w:val="21"/>
          <w:szCs w:val="21"/>
        </w:rPr>
        <w:t>bank</w:t>
      </w:r>
      <w:proofErr w:type="spellEnd"/>
      <w:r>
        <w:rPr>
          <w:rFonts w:ascii="Georgia" w:hAnsi="Georgia"/>
          <w:sz w:val="21"/>
          <w:szCs w:val="21"/>
        </w:rPr>
        <w:t xml:space="preserve"> e facilitazioni fiscali. E qui la Commissione si è opposta agli «aiuti di Stato». Nella recente crisi delle quattro banche (l’1% del </w:t>
      </w:r>
      <w:r>
        <w:rPr>
          <w:rFonts w:ascii="Georgia" w:hAnsi="Georgia"/>
          <w:sz w:val="21"/>
          <w:szCs w:val="21"/>
        </w:rPr>
        <w:lastRenderedPageBreak/>
        <w:t>nostro mercato bancario) la Commissione ha fatto di peggio impedendo l’intervento del Fondo interbancario di tutela dei depositi (che è un consorzio di diritto privato anche se obbligatorio) utilizzando il quale si potevano proteggere i creditori delle banche.</w:t>
      </w:r>
    </w:p>
    <w:p w:rsidR="00BD193D" w:rsidRDefault="00BD193D" w:rsidP="00BD193D">
      <w:pPr>
        <w:spacing w:line="300" w:lineRule="atLeast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Una conclusione</w:t>
      </w:r>
      <w:r>
        <w:rPr>
          <w:rFonts w:ascii="Georgia" w:hAnsi="Georgia"/>
          <w:sz w:val="21"/>
          <w:szCs w:val="21"/>
        </w:rPr>
        <w:t>. Per gli euro-italiani sarebbe interessante valutare come la Commissione ha vietato i cosiddetti “aiuti di Stato” e se non ci siano possibilità di impugnative (in Italia ci sono eccellenti giuristi) presso la Corte di Giustizia Ue che non cambierebbero i fatti ma forse i criteri.</w:t>
      </w:r>
      <w:r>
        <w:rPr>
          <w:rFonts w:ascii="Georgia" w:hAnsi="Georgia"/>
          <w:sz w:val="18"/>
          <w:szCs w:val="18"/>
        </w:rPr>
        <w:br/>
      </w:r>
      <w:r>
        <w:rPr>
          <w:rFonts w:ascii="Georgia" w:hAnsi="Georgia"/>
          <w:sz w:val="21"/>
          <w:szCs w:val="21"/>
        </w:rPr>
        <w:t xml:space="preserve">Per gli euro-razionali accelerare la costruzione della Ue e della </w:t>
      </w:r>
      <w:proofErr w:type="spellStart"/>
      <w:r>
        <w:rPr>
          <w:rFonts w:ascii="Georgia" w:hAnsi="Georgia"/>
          <w:sz w:val="21"/>
          <w:szCs w:val="21"/>
        </w:rPr>
        <w:t>Uem</w:t>
      </w:r>
      <w:proofErr w:type="spellEnd"/>
      <w:r>
        <w:rPr>
          <w:rFonts w:ascii="Georgia" w:hAnsi="Georgia"/>
          <w:sz w:val="21"/>
          <w:szCs w:val="21"/>
        </w:rPr>
        <w:t xml:space="preserve"> è essenziale sia per i Paesi membri sia per la geo-politica e la geo-economia mondiale. Anche perché il tempo stringe sempre di più.</w:t>
      </w:r>
    </w:p>
    <w:p w:rsidR="00BD193D" w:rsidRDefault="00BD193D" w:rsidP="00BD193D">
      <w:r>
        <w:rPr>
          <w:rFonts w:ascii="Georgia" w:hAnsi="Georgia"/>
          <w:sz w:val="18"/>
          <w:szCs w:val="18"/>
        </w:rPr>
        <w:br/>
        <w:t>15 dicembre 2015</w:t>
      </w:r>
      <w:bookmarkStart w:id="0" w:name="_GoBack"/>
      <w:bookmarkEnd w:id="0"/>
    </w:p>
    <w:sectPr w:rsidR="00BD1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le_serif_headlinebold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31"/>
    <w:rsid w:val="00082931"/>
    <w:rsid w:val="00831EE3"/>
    <w:rsid w:val="00B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BB26"/>
  <w15:chartTrackingRefBased/>
  <w15:docId w15:val="{6547FD0A-029D-4AFA-A2AE-93A5C45A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82931"/>
    <w:pPr>
      <w:spacing w:after="0" w:line="240" w:lineRule="auto"/>
      <w:outlineLvl w:val="1"/>
    </w:pPr>
    <w:rPr>
      <w:rFonts w:ascii="sole_serif_headlinebold" w:eastAsia="Times New Roman" w:hAnsi="sole_serif_headlinebold" w:cs="Times New Roman"/>
      <w:b/>
      <w:bCs/>
      <w:color w:val="000000"/>
      <w:sz w:val="45"/>
      <w:szCs w:val="45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293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999999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82931"/>
    <w:rPr>
      <w:rFonts w:ascii="sole_serif_headlinebold" w:eastAsia="Times New Roman" w:hAnsi="sole_serif_headlinebold" w:cs="Times New Roman"/>
      <w:b/>
      <w:bCs/>
      <w:color w:val="000000"/>
      <w:sz w:val="45"/>
      <w:szCs w:val="45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2931"/>
    <w:rPr>
      <w:rFonts w:ascii="Times New Roman" w:eastAsia="Times New Roman" w:hAnsi="Times New Roman" w:cs="Times New Roman"/>
      <w:b/>
      <w:bCs/>
      <w:color w:val="999999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82931"/>
    <w:rPr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6D6D6"/>
                <w:right w:val="none" w:sz="0" w:space="0" w:color="auto"/>
              </w:divBdr>
              <w:divsChild>
                <w:div w:id="466551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6D6D6"/>
                <w:right w:val="none" w:sz="0" w:space="0" w:color="auto"/>
              </w:divBdr>
              <w:divsChild>
                <w:div w:id="16131689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indow.close(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1937</Words>
  <Characters>11043</Characters>
  <Application>Microsoft Office Word</Application>
  <DocSecurity>0</DocSecurity>
  <Lines>92</Lines>
  <Paragraphs>25</Paragraphs>
  <ScaleCrop>false</ScaleCrop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Abate</dc:creator>
  <cp:keywords/>
  <dc:description/>
  <cp:lastModifiedBy>Antonio Abate</cp:lastModifiedBy>
  <cp:revision>3</cp:revision>
  <dcterms:created xsi:type="dcterms:W3CDTF">2015-12-21T11:20:00Z</dcterms:created>
  <dcterms:modified xsi:type="dcterms:W3CDTF">2015-12-21T11:33:00Z</dcterms:modified>
</cp:coreProperties>
</file>